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395AA" w14:textId="77777777" w:rsidR="003547AD" w:rsidRDefault="00000000">
      <w:pPr>
        <w:pStyle w:val="Heading1"/>
        <w:spacing w:after="240"/>
        <w:jc w:val="center"/>
      </w:pPr>
      <w:r>
        <w:rPr>
          <w:color w:val="003366"/>
          <w:sz w:val="48"/>
        </w:rPr>
        <w:t>Continuous Monitoring and the Silent Interval</w:t>
      </w:r>
    </w:p>
    <w:p w14:paraId="3A817280" w14:textId="77777777" w:rsidR="003547AD" w:rsidRDefault="00000000">
      <w:pPr>
        <w:pStyle w:val="Heading2"/>
        <w:spacing w:after="800"/>
        <w:jc w:val="center"/>
      </w:pPr>
      <w:r>
        <w:rPr>
          <w:color w:val="003366"/>
          <w:sz w:val="28"/>
        </w:rPr>
        <w:t>A Clinical Framework for Garment-Based RPM in Veteran Heart Failure</w:t>
      </w:r>
    </w:p>
    <w:p w14:paraId="131266E1" w14:textId="77777777" w:rsidR="003547AD" w:rsidRDefault="003547AD">
      <w:pPr>
        <w:pBdr>
          <w:bottom w:val="single" w:sz="12" w:space="1" w:color="003366"/>
        </w:pBdr>
      </w:pPr>
    </w:p>
    <w:p w14:paraId="44017910" w14:textId="77777777" w:rsidR="003547AD" w:rsidRDefault="003547AD"/>
    <w:p w14:paraId="77F68046" w14:textId="77777777" w:rsidR="003547AD" w:rsidRDefault="00000000">
      <w:r>
        <w:br w:type="page"/>
      </w:r>
    </w:p>
    <w:p w14:paraId="46A3F145" w14:textId="77777777" w:rsidR="003547AD" w:rsidRDefault="00000000">
      <w:pPr>
        <w:pStyle w:val="Heading2"/>
      </w:pPr>
      <w:r>
        <w:rPr>
          <w:color w:val="003366"/>
          <w:sz w:val="28"/>
        </w:rPr>
        <w:lastRenderedPageBreak/>
        <w:t>EXECUTIVE SUMMARY: THE VETERAN-CENTERED PROMISE</w:t>
      </w:r>
    </w:p>
    <w:p w14:paraId="1A6BB704" w14:textId="77777777" w:rsidR="003547AD" w:rsidRDefault="00000000">
      <w:r>
        <w:t>For decades, heart failure management meant a choice: either stay vigilant in the clinic system—frequent appointments, periodic monitoring, reactive responses to crises—or go home and hope nothing goes wrong between visits.</w:t>
      </w:r>
    </w:p>
    <w:p w14:paraId="3158CADA" w14:textId="77777777" w:rsidR="003547AD" w:rsidRDefault="00000000">
      <w:r>
        <w:rPr>
          <w:b/>
        </w:rPr>
        <w:t>This is a false choice, and it costs veterans their independence.</w:t>
      </w:r>
    </w:p>
    <w:p w14:paraId="366AE217" w14:textId="77777777" w:rsidR="003547AD" w:rsidRDefault="00000000">
      <w:r>
        <w:rPr>
          <w:i/>
        </w:rPr>
        <w:t>The Silent Interval changes that equation. It's continuous clinical-grade monitoring that works silently in the background—no daily transmission obligations, no constant check-ins, no tether to a system. Instead, your care team gets the early signal they need to intervene before you reach crisis. You get your life back. They get the data that matters.</w:t>
      </w:r>
    </w:p>
    <w:p w14:paraId="3D705E7A" w14:textId="77777777" w:rsidR="003547AD" w:rsidRDefault="00000000">
      <w:r>
        <w:t>This white paper outlines a new clinical framework for remote patient monitoring (RPM) in veteran heart failure care—one that prioritizes what veterans actually want: to stay home, stay independent, and stay ahead of their condition without trading autonomy for safety.</w:t>
      </w:r>
    </w:p>
    <w:p w14:paraId="1AE54B29" w14:textId="77777777" w:rsidR="003547AD" w:rsidRDefault="00000000">
      <w:r>
        <w:br w:type="page"/>
      </w:r>
    </w:p>
    <w:p w14:paraId="69811964" w14:textId="77777777" w:rsidR="003547AD" w:rsidRDefault="00000000">
      <w:pPr>
        <w:pStyle w:val="Heading2"/>
      </w:pPr>
      <w:r>
        <w:rPr>
          <w:color w:val="003366"/>
          <w:sz w:val="28"/>
        </w:rPr>
        <w:lastRenderedPageBreak/>
        <w:t>PART I: FOR THE VETERAN PATIENT</w:t>
      </w:r>
    </w:p>
    <w:p w14:paraId="18B805B2" w14:textId="77777777" w:rsidR="003547AD" w:rsidRDefault="00000000">
      <w:pPr>
        <w:pStyle w:val="Heading3"/>
      </w:pPr>
      <w:r>
        <w:rPr>
          <w:color w:val="003366"/>
          <w:sz w:val="24"/>
        </w:rPr>
        <w:t>Independence Restored: What Changes When Monitoring Becomes Silent</w:t>
      </w:r>
    </w:p>
    <w:p w14:paraId="66BF3482" w14:textId="77777777" w:rsidR="003547AD" w:rsidRDefault="00000000">
      <w:r>
        <w:rPr>
          <w:i/>
        </w:rPr>
        <w:t>"You've earned independence. You shouldn't have to choose between your health and your freedom."</w:t>
      </w:r>
    </w:p>
    <w:p w14:paraId="504E5DEE" w14:textId="77777777" w:rsidR="003547AD" w:rsidRDefault="003547AD"/>
    <w:p w14:paraId="69765338" w14:textId="77777777" w:rsidR="003547AD" w:rsidRDefault="00000000">
      <w:pPr>
        <w:pStyle w:val="Heading3"/>
      </w:pPr>
      <w:r>
        <w:rPr>
          <w:color w:val="003366"/>
          <w:sz w:val="24"/>
        </w:rPr>
        <w:t>The Old Model: Tethered to the System</w:t>
      </w:r>
    </w:p>
    <w:p w14:paraId="7B636A6D" w14:textId="77777777" w:rsidR="003547AD" w:rsidRDefault="00000000">
      <w:r>
        <w:t>Traditional heart failure monitoring operates on a cycle that's exhausting:</w:t>
      </w:r>
    </w:p>
    <w:p w14:paraId="2FF6C4B2" w14:textId="77777777" w:rsidR="003547AD" w:rsidRDefault="00000000">
      <w:pPr>
        <w:pStyle w:val="ListBullet"/>
      </w:pPr>
      <w:r>
        <w:t>Clinic appointments every 4-8 weeks (or more)</w:t>
      </w:r>
    </w:p>
    <w:p w14:paraId="28E4A620" w14:textId="77777777" w:rsidR="003547AD" w:rsidRDefault="00000000">
      <w:pPr>
        <w:pStyle w:val="ListBullet"/>
      </w:pPr>
      <w:r>
        <w:t>Weighing yourself daily and reporting if you gain 3+ pounds</w:t>
      </w:r>
    </w:p>
    <w:p w14:paraId="66C5DBB6" w14:textId="77777777" w:rsidR="003547AD" w:rsidRDefault="00000000">
      <w:pPr>
        <w:pStyle w:val="ListBullet"/>
      </w:pPr>
      <w:r>
        <w:t>Calling the clinic with symptoms and hoping for a callback</w:t>
      </w:r>
    </w:p>
    <w:p w14:paraId="4F8AB6E6" w14:textId="77777777" w:rsidR="003547AD" w:rsidRDefault="00000000">
      <w:pPr>
        <w:pStyle w:val="ListBullet"/>
      </w:pPr>
      <w:r>
        <w:t>Hospital visits when things go wrong</w:t>
      </w:r>
    </w:p>
    <w:p w14:paraId="179770F8" w14:textId="77777777" w:rsidR="003547AD" w:rsidRDefault="00000000">
      <w:pPr>
        <w:pStyle w:val="ListBullet"/>
      </w:pPr>
      <w:r>
        <w:t>The constant underlying anxiety: 'Am I missing something? Is this normal?'</w:t>
      </w:r>
    </w:p>
    <w:p w14:paraId="27D5A4A6" w14:textId="77777777" w:rsidR="003547AD" w:rsidRDefault="00000000">
      <w:r>
        <w:rPr>
          <w:i/>
        </w:rPr>
        <w:t>It's monitoring, yes. But it requires you to be the sensor. You have to remember. You have to report. You have to interpret.</w:t>
      </w:r>
    </w:p>
    <w:p w14:paraId="4A1A43E1" w14:textId="77777777" w:rsidR="003547AD" w:rsidRDefault="00000000">
      <w:r>
        <w:t>And if you miss something, if you don't catch the early warning signs—that's when the 3 AM emergency happens.</w:t>
      </w:r>
    </w:p>
    <w:p w14:paraId="6CAAE4D4" w14:textId="77777777" w:rsidR="003547AD" w:rsidRDefault="003547AD"/>
    <w:p w14:paraId="73198DE7" w14:textId="77777777" w:rsidR="003547AD" w:rsidRDefault="00000000">
      <w:pPr>
        <w:pStyle w:val="Heading3"/>
      </w:pPr>
      <w:r>
        <w:rPr>
          <w:color w:val="003366"/>
          <w:sz w:val="24"/>
        </w:rPr>
        <w:t>The New Model: Silent, Continuous, Always There</w:t>
      </w:r>
    </w:p>
    <w:p w14:paraId="3665BE8B" w14:textId="77777777" w:rsidR="003547AD" w:rsidRDefault="00000000">
      <w:r>
        <w:t>Imagine this instead:</w:t>
      </w:r>
    </w:p>
    <w:p w14:paraId="784BBC6D" w14:textId="77777777" w:rsidR="003547AD" w:rsidRDefault="00000000">
      <w:r>
        <w:rPr>
          <w:b/>
        </w:rPr>
        <w:t>You put on your eShirt®—a medical-grade monitoring garment that looks like a normal shirt. It sits under your regular clothes. You wear it continuously, or intermittently, depending on what your care team recommends.</w:t>
      </w:r>
    </w:p>
    <w:p w14:paraId="0C888AF3" w14:textId="77777777" w:rsidR="003547AD" w:rsidRDefault="00000000">
      <w:r>
        <w:t>The garment is continuously sensing:</w:t>
      </w:r>
    </w:p>
    <w:p w14:paraId="6D474EBC" w14:textId="77777777" w:rsidR="003547AD" w:rsidRDefault="00000000">
      <w:pPr>
        <w:pStyle w:val="ListBullet"/>
      </w:pPr>
      <w:r>
        <w:t>Your cardiac rhythm</w:t>
      </w:r>
    </w:p>
    <w:p w14:paraId="63A486EB" w14:textId="77777777" w:rsidR="003547AD" w:rsidRDefault="00000000">
      <w:pPr>
        <w:pStyle w:val="ListBullet"/>
      </w:pPr>
      <w:r>
        <w:t>Your heart rate variability</w:t>
      </w:r>
    </w:p>
    <w:p w14:paraId="39D8D2B1" w14:textId="77777777" w:rsidR="003547AD" w:rsidRDefault="00000000">
      <w:pPr>
        <w:pStyle w:val="ListBullet"/>
      </w:pPr>
      <w:r>
        <w:t>Your respiratory patterns</w:t>
      </w:r>
    </w:p>
    <w:p w14:paraId="4E17AAAA" w14:textId="77777777" w:rsidR="003547AD" w:rsidRDefault="00000000">
      <w:pPr>
        <w:pStyle w:val="ListBullet"/>
      </w:pPr>
      <w:r>
        <w:t>Your activity and sleep</w:t>
      </w:r>
    </w:p>
    <w:p w14:paraId="7CFB17D7" w14:textId="77777777" w:rsidR="003547AD" w:rsidRDefault="00000000">
      <w:pPr>
        <w:pStyle w:val="ListBullet"/>
      </w:pPr>
      <w:r>
        <w:t>Your body temperature trends</w:t>
      </w:r>
    </w:p>
    <w:p w14:paraId="47CE9C60" w14:textId="77777777" w:rsidR="003547AD" w:rsidRDefault="00000000">
      <w:r>
        <w:t>All of this data flows securely to your VA care team. But it doesn't require you to do anything. You're not weighing yourself and calling the clinic. You're not interpreting data. You're not watching for warning signs.</w:t>
      </w:r>
    </w:p>
    <w:p w14:paraId="5C51DFB9" w14:textId="77777777" w:rsidR="003547AD" w:rsidRDefault="00000000">
      <w:r>
        <w:rPr>
          <w:b/>
        </w:rPr>
        <w:t>Instead, your providers are watching. They're seeing patterns you can't see. They're catching the subtle changes—the fluid retention that shows up in respiratory rate before you feel shortness of breath. The cardiac stress that appears in your rhythm before you have symptoms. The deterioration that happens so gradually you wouldn't notice it for weeks.</w:t>
      </w:r>
    </w:p>
    <w:p w14:paraId="4C0095AC" w14:textId="77777777" w:rsidR="003547AD" w:rsidRDefault="00000000">
      <w:r>
        <w:t>When they see something that matters, they reach out. Not the other way around.</w:t>
      </w:r>
    </w:p>
    <w:p w14:paraId="4D7ABCAD" w14:textId="77777777" w:rsidR="003547AD" w:rsidRDefault="00000000">
      <w:r>
        <w:lastRenderedPageBreak/>
        <w:t>Meanwhile, you're living your life. You're at home. You're independent. You're not in the clinic every month. You're not anxious about missing something because someone who knows what they're looking for is watching.</w:t>
      </w:r>
    </w:p>
    <w:p w14:paraId="78A526D7" w14:textId="77777777" w:rsidR="003547AD" w:rsidRDefault="003547AD"/>
    <w:p w14:paraId="72CFF8D1" w14:textId="77777777" w:rsidR="003547AD" w:rsidRDefault="00000000">
      <w:pPr>
        <w:pStyle w:val="Heading3"/>
      </w:pPr>
      <w:r>
        <w:rPr>
          <w:color w:val="003366"/>
          <w:sz w:val="24"/>
        </w:rPr>
        <w:t>What This Means for You</w:t>
      </w:r>
    </w:p>
    <w:p w14:paraId="2F896DBA" w14:textId="77777777" w:rsidR="003547AD" w:rsidRDefault="00000000">
      <w:pPr>
        <w:pStyle w:val="ListBullet"/>
        <w:spacing w:after="160"/>
      </w:pPr>
      <w:r>
        <w:t>More time at home. Fewer clinic visits. No daily reporting obligations.</w:t>
      </w:r>
    </w:p>
    <w:p w14:paraId="46433F87" w14:textId="77777777" w:rsidR="003547AD" w:rsidRDefault="00000000">
      <w:pPr>
        <w:pStyle w:val="ListBullet"/>
        <w:spacing w:after="160"/>
      </w:pPr>
      <w:r>
        <w:t>Better outcomes before they become emergencies. Your providers catch problems when they're manageable, not when they're acute.</w:t>
      </w:r>
    </w:p>
    <w:p w14:paraId="1CE8F869" w14:textId="77777777" w:rsidR="003547AD" w:rsidRDefault="00000000">
      <w:pPr>
        <w:pStyle w:val="ListBullet"/>
        <w:spacing w:after="160"/>
      </w:pPr>
      <w:r>
        <w:t>Your dignity intact. You're not a patient checking in constantly. You're a veteran managing your condition on your terms.</w:t>
      </w:r>
    </w:p>
    <w:p w14:paraId="308E89DF" w14:textId="77777777" w:rsidR="003547AD" w:rsidRDefault="00000000">
      <w:pPr>
        <w:pStyle w:val="ListBullet"/>
        <w:spacing w:after="160"/>
      </w:pPr>
      <w:r>
        <w:t>Trust restored. You know your care team is paying attention. You know if something matters, they'll let you know. You don't have to be the gatekeeper of your own health anymore.</w:t>
      </w:r>
    </w:p>
    <w:p w14:paraId="674BEC8D" w14:textId="77777777" w:rsidR="003547AD" w:rsidRDefault="00000000">
      <w:r>
        <w:rPr>
          <w:b/>
        </w:rPr>
        <w:t>The Silent Interval isn't about monitoring you more. It's about monitoring you better—and then staying quiet unless action is needed.</w:t>
      </w:r>
    </w:p>
    <w:p w14:paraId="66BED46E" w14:textId="77777777" w:rsidR="003547AD" w:rsidRDefault="00000000">
      <w:r>
        <w:br w:type="page"/>
      </w:r>
    </w:p>
    <w:p w14:paraId="41E87FCA" w14:textId="77777777" w:rsidR="003547AD" w:rsidRDefault="00000000">
      <w:pPr>
        <w:pStyle w:val="Heading2"/>
      </w:pPr>
      <w:r>
        <w:rPr>
          <w:color w:val="003366"/>
          <w:sz w:val="28"/>
        </w:rPr>
        <w:lastRenderedPageBreak/>
        <w:t>PART II: FOR THE VA PROVIDER</w:t>
      </w:r>
    </w:p>
    <w:p w14:paraId="0F7B3D94" w14:textId="77777777" w:rsidR="003547AD" w:rsidRDefault="00000000">
      <w:pPr>
        <w:pStyle w:val="Heading3"/>
      </w:pPr>
      <w:r>
        <w:rPr>
          <w:color w:val="003366"/>
          <w:sz w:val="24"/>
        </w:rPr>
        <w:t>The Clinical Signal That Doesn't Burden: RPM Done Right</w:t>
      </w:r>
    </w:p>
    <w:p w14:paraId="05F61E67" w14:textId="77777777" w:rsidR="003547AD" w:rsidRDefault="00000000">
      <w:r>
        <w:t>Heart failure management in the VA setting faces a persistent tension: we need more granular data to manage these patients well, but our current monitoring model pushes all the work onto the patient and creates workflow friction for providers.</w:t>
      </w:r>
    </w:p>
    <w:p w14:paraId="4DF8FB68" w14:textId="77777777" w:rsidR="003547AD" w:rsidRDefault="00000000">
      <w:r>
        <w:t>Daily weight monitoring captures some signal. Periodic clinic visits capture snapshots. But neither provides the continuous insight needed to truly prevent decompensation—especially in the outpatient setting where most of our heart failure patients live.</w:t>
      </w:r>
    </w:p>
    <w:p w14:paraId="63D1A224" w14:textId="77777777" w:rsidR="003547AD" w:rsidRDefault="003547AD"/>
    <w:p w14:paraId="7C46255A" w14:textId="77777777" w:rsidR="003547AD" w:rsidRDefault="00000000">
      <w:pPr>
        <w:pStyle w:val="Heading3"/>
      </w:pPr>
      <w:r>
        <w:rPr>
          <w:color w:val="003366"/>
          <w:sz w:val="24"/>
        </w:rPr>
        <w:t>The Clinical Case for Continuous Monitoring</w:t>
      </w:r>
    </w:p>
    <w:p w14:paraId="2A13EB94" w14:textId="77777777" w:rsidR="003547AD" w:rsidRDefault="00000000">
      <w:r>
        <w:t>The evidence is clear:</w:t>
      </w:r>
    </w:p>
    <w:p w14:paraId="5941463C" w14:textId="77777777" w:rsidR="003547AD" w:rsidRDefault="00000000">
      <w:r>
        <w:rPr>
          <w:b/>
          <w:color w:val="003366"/>
        </w:rPr>
        <w:t>Early warning windows matter.</w:t>
      </w:r>
      <w:r>
        <w:t xml:space="preserve"> Hemodynamic changes in heart failure—particularly fluid retention and cardiac stress—manifest days or weeks before clinical symptoms appear. A patient's weight might not change noticeably for 10 days, but their respiratory rate and cardiac variability show stress immediately. If we're watching respiratory patterns and rhythm data, we can intervene in that window.</w:t>
      </w:r>
    </w:p>
    <w:p w14:paraId="383051DA" w14:textId="77777777" w:rsidR="003547AD" w:rsidRDefault="00000000">
      <w:r>
        <w:rPr>
          <w:b/>
          <w:color w:val="003366"/>
        </w:rPr>
        <w:t>Current vital signs miss silent decompensation.</w:t>
      </w:r>
      <w:r>
        <w:t xml:space="preserve"> Patients with preserved ejection fraction (a large portion of our veteran population) often show normal resting vital signs until late in decompensation. Continuous cardiac variability and respiratory monitoring capture stress that a quarterly clinic visit would miss.</w:t>
      </w:r>
    </w:p>
    <w:p w14:paraId="30C0DACF" w14:textId="77777777" w:rsidR="003547AD" w:rsidRDefault="00000000">
      <w:r>
        <w:rPr>
          <w:b/>
          <w:color w:val="003366"/>
        </w:rPr>
        <w:t>Symptom-based reporting fails high-risk populations.</w:t>
      </w:r>
      <w:r>
        <w:t xml:space="preserve"> Elderly veterans, those with comorbid cognitive decline, or patients on multiple medications often don't recognize or report early warning signs reliably. Objective data removes that dependency.</w:t>
      </w:r>
    </w:p>
    <w:p w14:paraId="7196FD08" w14:textId="77777777" w:rsidR="003547AD" w:rsidRDefault="003547AD"/>
    <w:p w14:paraId="487600D6" w14:textId="77777777" w:rsidR="003547AD" w:rsidRDefault="00000000">
      <w:pPr>
        <w:pStyle w:val="Heading3"/>
      </w:pPr>
      <w:r>
        <w:rPr>
          <w:color w:val="003366"/>
          <w:sz w:val="24"/>
        </w:rPr>
        <w:t>How This Works Clinically</w:t>
      </w:r>
    </w:p>
    <w:p w14:paraId="720ADEFE" w14:textId="77777777" w:rsidR="003547AD" w:rsidRDefault="00000000">
      <w:r>
        <w:t>The eShirt® generates multiple data streams relevant to heart failure management:</w:t>
      </w:r>
    </w:p>
    <w:p w14:paraId="26199A88" w14:textId="77777777" w:rsidR="003547AD" w:rsidRDefault="00000000">
      <w:pPr>
        <w:spacing w:after="80"/>
      </w:pPr>
      <w:r>
        <w:rPr>
          <w:b/>
          <w:color w:val="003366"/>
        </w:rPr>
        <w:t>Cardiac Rhythm &amp; Rate Variability</w:t>
      </w:r>
    </w:p>
    <w:p w14:paraId="3F4A0862" w14:textId="77777777" w:rsidR="003547AD" w:rsidRDefault="00000000">
      <w:pPr>
        <w:pStyle w:val="ListBullet"/>
      </w:pPr>
      <w:r>
        <w:t>HRV trends correlate with sympathetic tone and cardiac stress</w:t>
      </w:r>
    </w:p>
    <w:p w14:paraId="16305B31" w14:textId="77777777" w:rsidR="003547AD" w:rsidRDefault="00000000">
      <w:pPr>
        <w:pStyle w:val="ListBullet"/>
      </w:pPr>
      <w:r>
        <w:t>Arrhythmia burden detection flags rhythm complications</w:t>
      </w:r>
    </w:p>
    <w:p w14:paraId="58271422" w14:textId="77777777" w:rsidR="003547AD" w:rsidRDefault="00000000">
      <w:pPr>
        <w:pStyle w:val="ListBullet"/>
      </w:pPr>
      <w:r>
        <w:t>Post-event monitoring captures real-time cardiac response to activity or medication change</w:t>
      </w:r>
    </w:p>
    <w:p w14:paraId="6E3C3211" w14:textId="77777777" w:rsidR="003547AD" w:rsidRDefault="00000000">
      <w:pPr>
        <w:spacing w:after="80"/>
      </w:pPr>
      <w:r>
        <w:rPr>
          <w:b/>
          <w:color w:val="003366"/>
        </w:rPr>
        <w:t>Respiratory Pattern Monitoring</w:t>
      </w:r>
    </w:p>
    <w:p w14:paraId="1659AE97" w14:textId="77777777" w:rsidR="003547AD" w:rsidRDefault="00000000">
      <w:pPr>
        <w:pStyle w:val="ListBullet"/>
      </w:pPr>
      <w:r>
        <w:t>Elevated respiratory rate often precedes dyspnea perception by days</w:t>
      </w:r>
    </w:p>
    <w:p w14:paraId="098B8670" w14:textId="77777777" w:rsidR="003547AD" w:rsidRDefault="00000000">
      <w:pPr>
        <w:pStyle w:val="ListBullet"/>
      </w:pPr>
      <w:r>
        <w:t>Breathing pattern changes reflect early pulmonary congestion</w:t>
      </w:r>
    </w:p>
    <w:p w14:paraId="48B13747" w14:textId="77777777" w:rsidR="003547AD" w:rsidRDefault="00000000">
      <w:pPr>
        <w:pStyle w:val="ListBullet"/>
      </w:pPr>
      <w:r>
        <w:t>Sleep-disordered breathing patterns, common in our population, become visible for intervention</w:t>
      </w:r>
    </w:p>
    <w:p w14:paraId="51A2684C" w14:textId="77777777" w:rsidR="003547AD" w:rsidRDefault="00000000">
      <w:pPr>
        <w:spacing w:after="80"/>
      </w:pPr>
      <w:r>
        <w:rPr>
          <w:b/>
          <w:color w:val="003366"/>
        </w:rPr>
        <w:t>Activity &amp; Exertion Response</w:t>
      </w:r>
    </w:p>
    <w:p w14:paraId="5E880CB7" w14:textId="77777777" w:rsidR="003547AD" w:rsidRDefault="00000000">
      <w:pPr>
        <w:pStyle w:val="ListBullet"/>
      </w:pPr>
      <w:r>
        <w:t>Objective measure of functional capacity (not patient perception)</w:t>
      </w:r>
    </w:p>
    <w:p w14:paraId="245CB1E8" w14:textId="77777777" w:rsidR="003547AD" w:rsidRDefault="00000000">
      <w:pPr>
        <w:pStyle w:val="ListBullet"/>
      </w:pPr>
      <w:r>
        <w:t>Monitoring how quickly HR recovers post-exertion indicates cardiac reserve</w:t>
      </w:r>
    </w:p>
    <w:p w14:paraId="1321DA90" w14:textId="77777777" w:rsidR="003547AD" w:rsidRDefault="00000000">
      <w:pPr>
        <w:pStyle w:val="ListBullet"/>
      </w:pPr>
      <w:r>
        <w:lastRenderedPageBreak/>
        <w:t>Activity trends reveal deconditioning earlier than patient reports</w:t>
      </w:r>
    </w:p>
    <w:p w14:paraId="14CA9284" w14:textId="77777777" w:rsidR="003547AD" w:rsidRDefault="00000000">
      <w:pPr>
        <w:spacing w:after="80"/>
      </w:pPr>
      <w:r>
        <w:rPr>
          <w:b/>
          <w:color w:val="003366"/>
        </w:rPr>
        <w:t>Sleep &amp; Recovery Metrics</w:t>
      </w:r>
    </w:p>
    <w:p w14:paraId="3A63A161" w14:textId="77777777" w:rsidR="003547AD" w:rsidRDefault="00000000">
      <w:pPr>
        <w:pStyle w:val="ListBullet"/>
      </w:pPr>
      <w:r>
        <w:t>Sleep quality deteriorates early in decompensation</w:t>
      </w:r>
    </w:p>
    <w:p w14:paraId="1B32CE66" w14:textId="77777777" w:rsidR="003547AD" w:rsidRDefault="00000000">
      <w:pPr>
        <w:pStyle w:val="ListBullet"/>
      </w:pPr>
      <w:r>
        <w:t>Sleep-disordered breathing worsens with fluid retention</w:t>
      </w:r>
    </w:p>
    <w:p w14:paraId="0724CF76" w14:textId="77777777" w:rsidR="003547AD" w:rsidRDefault="00000000">
      <w:pPr>
        <w:pStyle w:val="ListBullet"/>
      </w:pPr>
      <w:r>
        <w:t>Objective sleep data guides medication timing and dosing</w:t>
      </w:r>
    </w:p>
    <w:p w14:paraId="2A37A262" w14:textId="77777777" w:rsidR="003547AD" w:rsidRDefault="003547AD"/>
    <w:p w14:paraId="335D4C24" w14:textId="77777777" w:rsidR="003547AD" w:rsidRDefault="00000000">
      <w:pPr>
        <w:pStyle w:val="Heading3"/>
      </w:pPr>
      <w:r>
        <w:rPr>
          <w:color w:val="003366"/>
          <w:sz w:val="24"/>
        </w:rPr>
        <w:t>Workflow Integration (It Doesn't Require More Work)</w:t>
      </w:r>
    </w:p>
    <w:p w14:paraId="1D3EBFF2" w14:textId="77777777" w:rsidR="003547AD" w:rsidRDefault="00000000">
      <w:r>
        <w:rPr>
          <w:b/>
        </w:rPr>
        <w:t>The critical difference: this data is pulled by you, not pushed by the patient.</w:t>
      </w:r>
    </w:p>
    <w:p w14:paraId="0B56699B" w14:textId="77777777" w:rsidR="003547AD" w:rsidRDefault="00000000">
      <w:r>
        <w:t>Instead of managing 40 daily weight reports and phone calls, you receive:</w:t>
      </w:r>
    </w:p>
    <w:p w14:paraId="0D1E05C0" w14:textId="77777777" w:rsidR="003547AD" w:rsidRDefault="00000000">
      <w:pPr>
        <w:pStyle w:val="ListBullet"/>
      </w:pPr>
      <w:r>
        <w:t>Automated alerts when metrics cross thresholds you define</w:t>
      </w:r>
    </w:p>
    <w:p w14:paraId="53CF5131" w14:textId="77777777" w:rsidR="003547AD" w:rsidRDefault="00000000">
      <w:pPr>
        <w:pStyle w:val="ListBullet"/>
      </w:pPr>
      <w:r>
        <w:t>Trending dashboards for your patient panel, so you see which patients need attention today</w:t>
      </w:r>
    </w:p>
    <w:p w14:paraId="536AB8B7" w14:textId="77777777" w:rsidR="003547AD" w:rsidRDefault="00000000">
      <w:pPr>
        <w:pStyle w:val="ListBullet"/>
      </w:pPr>
      <w:r>
        <w:t>Integrated notes that pull relevant data into your EHR workflow</w:t>
      </w:r>
    </w:p>
    <w:p w14:paraId="403D1E3F" w14:textId="77777777" w:rsidR="003547AD" w:rsidRDefault="00000000">
      <w:pPr>
        <w:pStyle w:val="ListBullet"/>
      </w:pPr>
      <w:r>
        <w:t>Patient context that reminds you this is Frank, your 73-year-old veteran with reduced ejection fraction who lives alone and takes his meds inconsistently</w:t>
      </w:r>
    </w:p>
    <w:p w14:paraId="03BE2198" w14:textId="77777777" w:rsidR="003547AD" w:rsidRDefault="00000000">
      <w:r>
        <w:t>You check your panel dashboard once or twice daily (as part of existing clinic workflow). You see which patients show concerning trends. You reach out proactively instead of reacting to symptoms or emergency calls.</w:t>
      </w:r>
    </w:p>
    <w:p w14:paraId="301B7B5E" w14:textId="77777777" w:rsidR="003547AD" w:rsidRDefault="00000000">
      <w:r>
        <w:rPr>
          <w:i/>
        </w:rPr>
        <w:t>For most patients on stable regimens, there are no alerts—the data is clean, and you know things are tracking well without requiring any action.</w:t>
      </w:r>
    </w:p>
    <w:p w14:paraId="29589300" w14:textId="77777777" w:rsidR="003547AD" w:rsidRDefault="00000000">
      <w:r>
        <w:br w:type="page"/>
      </w:r>
    </w:p>
    <w:p w14:paraId="460C3646" w14:textId="77777777" w:rsidR="003547AD" w:rsidRDefault="00000000">
      <w:pPr>
        <w:pStyle w:val="Heading2"/>
      </w:pPr>
      <w:r>
        <w:rPr>
          <w:color w:val="003366"/>
          <w:sz w:val="28"/>
        </w:rPr>
        <w:lastRenderedPageBreak/>
        <w:t>PART III: FOR VA HEALTH SYSTEM LEADERS</w:t>
      </w:r>
    </w:p>
    <w:p w14:paraId="5D8AFC03" w14:textId="77777777" w:rsidR="003547AD" w:rsidRDefault="00000000">
      <w:pPr>
        <w:pStyle w:val="Heading3"/>
      </w:pPr>
      <w:r>
        <w:rPr>
          <w:color w:val="003366"/>
          <w:sz w:val="24"/>
        </w:rPr>
        <w:t>Scale, Economics, and Implementation Strategy</w:t>
      </w:r>
    </w:p>
    <w:p w14:paraId="37F2DE1A" w14:textId="77777777" w:rsidR="003547AD" w:rsidRDefault="00000000">
      <w:r>
        <w:t>At scale, garment-based continuous monitoring represents a fundamental shift in how the VA can manage high-risk populations—not just heart failure, but COPD, diabetes complications, and post-surgical recovery. But the business case needs to be clear, the implementation realistic, and the scale path proven.</w:t>
      </w:r>
    </w:p>
    <w:p w14:paraId="7B3F4B35" w14:textId="77777777" w:rsidR="003547AD" w:rsidRDefault="003547AD"/>
    <w:p w14:paraId="46352032" w14:textId="77777777" w:rsidR="003547AD" w:rsidRDefault="00000000">
      <w:pPr>
        <w:pStyle w:val="Heading3"/>
      </w:pPr>
      <w:r>
        <w:rPr>
          <w:color w:val="003366"/>
          <w:sz w:val="24"/>
        </w:rPr>
        <w:t>The Economic Case</w:t>
      </w:r>
    </w:p>
    <w:p w14:paraId="7F210663" w14:textId="77777777" w:rsidR="003547AD" w:rsidRDefault="00000000">
      <w:r>
        <w:t>Current heart failure burden in the VA:</w:t>
      </w:r>
    </w:p>
    <w:p w14:paraId="30FEF735" w14:textId="77777777" w:rsidR="003547AD" w:rsidRDefault="00000000">
      <w:pPr>
        <w:pStyle w:val="ListBullet"/>
      </w:pPr>
      <w:r>
        <w:t>Approximately 1.5M veterans with heart failure diagnosis</w:t>
      </w:r>
    </w:p>
    <w:p w14:paraId="405E6DD1" w14:textId="77777777" w:rsidR="003547AD" w:rsidRDefault="00000000">
      <w:pPr>
        <w:pStyle w:val="ListBullet"/>
      </w:pPr>
      <w:r>
        <w:t>Average annual all-cause readmission rate: ~30%</w:t>
      </w:r>
    </w:p>
    <w:p w14:paraId="01A7C24C" w14:textId="77777777" w:rsidR="003547AD" w:rsidRDefault="00000000">
      <w:pPr>
        <w:pStyle w:val="ListBullet"/>
      </w:pPr>
      <w:r>
        <w:t>Average cost per readmission: $8,500-$12,000</w:t>
      </w:r>
    </w:p>
    <w:p w14:paraId="1BD58925" w14:textId="77777777" w:rsidR="003547AD" w:rsidRDefault="00000000">
      <w:pPr>
        <w:pStyle w:val="ListBullet"/>
      </w:pPr>
      <w:r>
        <w:t>Annual readmission spend: ~$4-6B system-wide</w:t>
      </w:r>
    </w:p>
    <w:p w14:paraId="69FB185F" w14:textId="77777777" w:rsidR="003547AD" w:rsidRDefault="00000000">
      <w:r>
        <w:t>For a cohort of 1,000 high-risk veterans with heart failure:</w:t>
      </w:r>
    </w:p>
    <w:tbl>
      <w:tblPr>
        <w:tblStyle w:val="LightGrid-Accent1"/>
        <w:tblW w:w="0" w:type="auto"/>
        <w:tblLook w:val="04A0" w:firstRow="1" w:lastRow="0" w:firstColumn="1" w:lastColumn="0" w:noHBand="0" w:noVBand="1"/>
      </w:tblPr>
      <w:tblGrid>
        <w:gridCol w:w="2518"/>
        <w:gridCol w:w="2513"/>
        <w:gridCol w:w="2515"/>
        <w:gridCol w:w="2514"/>
      </w:tblGrid>
      <w:tr w:rsidR="003547AD" w14:paraId="1680AE23" w14:textId="77777777" w:rsidTr="003547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60E2E83D" w14:textId="77777777" w:rsidR="003547AD" w:rsidRDefault="00000000">
            <w:r>
              <w:t>Metric</w:t>
            </w:r>
          </w:p>
        </w:tc>
        <w:tc>
          <w:tcPr>
            <w:tcW w:w="2520" w:type="dxa"/>
          </w:tcPr>
          <w:p w14:paraId="7BF447B8" w14:textId="77777777" w:rsidR="003547AD" w:rsidRDefault="00000000">
            <w:pPr>
              <w:cnfStyle w:val="100000000000" w:firstRow="1" w:lastRow="0" w:firstColumn="0" w:lastColumn="0" w:oddVBand="0" w:evenVBand="0" w:oddHBand="0" w:evenHBand="0" w:firstRowFirstColumn="0" w:firstRowLastColumn="0" w:lastRowFirstColumn="0" w:lastRowLastColumn="0"/>
            </w:pPr>
            <w:r>
              <w:t>Current State</w:t>
            </w:r>
          </w:p>
        </w:tc>
        <w:tc>
          <w:tcPr>
            <w:tcW w:w="2520" w:type="dxa"/>
          </w:tcPr>
          <w:p w14:paraId="65705CB2" w14:textId="77777777" w:rsidR="003547AD" w:rsidRDefault="00000000">
            <w:pPr>
              <w:cnfStyle w:val="100000000000" w:firstRow="1" w:lastRow="0" w:firstColumn="0" w:lastColumn="0" w:oddVBand="0" w:evenVBand="0" w:oddHBand="0" w:evenHBand="0" w:firstRowFirstColumn="0" w:firstRowLastColumn="0" w:lastRowFirstColumn="0" w:lastRowLastColumn="0"/>
            </w:pPr>
            <w:r>
              <w:t>With Continuous RPM</w:t>
            </w:r>
          </w:p>
        </w:tc>
        <w:tc>
          <w:tcPr>
            <w:tcW w:w="2520" w:type="dxa"/>
          </w:tcPr>
          <w:p w14:paraId="22A10670" w14:textId="77777777" w:rsidR="003547AD" w:rsidRDefault="00000000">
            <w:pPr>
              <w:cnfStyle w:val="100000000000" w:firstRow="1" w:lastRow="0" w:firstColumn="0" w:lastColumn="0" w:oddVBand="0" w:evenVBand="0" w:oddHBand="0" w:evenHBand="0" w:firstRowFirstColumn="0" w:firstRowLastColumn="0" w:lastRowFirstColumn="0" w:lastRowLastColumn="0"/>
            </w:pPr>
            <w:r>
              <w:t>Delta</w:t>
            </w:r>
          </w:p>
        </w:tc>
      </w:tr>
      <w:tr w:rsidR="003547AD" w14:paraId="7F282FED" w14:textId="77777777" w:rsidTr="00354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61A53813" w14:textId="77777777" w:rsidR="003547AD" w:rsidRDefault="00000000">
            <w:r>
              <w:t>Avg readmissions/year</w:t>
            </w:r>
          </w:p>
        </w:tc>
        <w:tc>
          <w:tcPr>
            <w:tcW w:w="2520" w:type="dxa"/>
          </w:tcPr>
          <w:p w14:paraId="1A65160F" w14:textId="77777777" w:rsidR="003547AD" w:rsidRDefault="00000000">
            <w:pPr>
              <w:cnfStyle w:val="000000100000" w:firstRow="0" w:lastRow="0" w:firstColumn="0" w:lastColumn="0" w:oddVBand="0" w:evenVBand="0" w:oddHBand="1" w:evenHBand="0" w:firstRowFirstColumn="0" w:firstRowLastColumn="0" w:lastRowFirstColumn="0" w:lastRowLastColumn="0"/>
            </w:pPr>
            <w:r>
              <w:t>300</w:t>
            </w:r>
          </w:p>
        </w:tc>
        <w:tc>
          <w:tcPr>
            <w:tcW w:w="2520" w:type="dxa"/>
          </w:tcPr>
          <w:p w14:paraId="330BF92B" w14:textId="77777777" w:rsidR="003547AD" w:rsidRDefault="00000000">
            <w:pPr>
              <w:cnfStyle w:val="000000100000" w:firstRow="0" w:lastRow="0" w:firstColumn="0" w:lastColumn="0" w:oddVBand="0" w:evenVBand="0" w:oddHBand="1" w:evenHBand="0" w:firstRowFirstColumn="0" w:firstRowLastColumn="0" w:lastRowFirstColumn="0" w:lastRowLastColumn="0"/>
            </w:pPr>
            <w:r>
              <w:t>150-175</w:t>
            </w:r>
          </w:p>
        </w:tc>
        <w:tc>
          <w:tcPr>
            <w:tcW w:w="2520" w:type="dxa"/>
          </w:tcPr>
          <w:p w14:paraId="6D62B78B" w14:textId="77777777" w:rsidR="003547AD" w:rsidRDefault="00000000">
            <w:pPr>
              <w:cnfStyle w:val="000000100000" w:firstRow="0" w:lastRow="0" w:firstColumn="0" w:lastColumn="0" w:oddVBand="0" w:evenVBand="0" w:oddHBand="1" w:evenHBand="0" w:firstRowFirstColumn="0" w:firstRowLastColumn="0" w:lastRowFirstColumn="0" w:lastRowLastColumn="0"/>
            </w:pPr>
            <w:r>
              <w:t>-45-50%</w:t>
            </w:r>
          </w:p>
        </w:tc>
      </w:tr>
      <w:tr w:rsidR="003547AD" w14:paraId="6F6D88F5" w14:textId="77777777" w:rsidTr="003547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43C38E9C" w14:textId="77777777" w:rsidR="003547AD" w:rsidRDefault="00000000">
            <w:r>
              <w:t>Cost/readmission</w:t>
            </w:r>
          </w:p>
        </w:tc>
        <w:tc>
          <w:tcPr>
            <w:tcW w:w="2520" w:type="dxa"/>
          </w:tcPr>
          <w:p w14:paraId="4042C5B9" w14:textId="77777777" w:rsidR="003547AD" w:rsidRDefault="00000000">
            <w:pPr>
              <w:cnfStyle w:val="000000010000" w:firstRow="0" w:lastRow="0" w:firstColumn="0" w:lastColumn="0" w:oddVBand="0" w:evenVBand="0" w:oddHBand="0" w:evenHBand="1" w:firstRowFirstColumn="0" w:firstRowLastColumn="0" w:lastRowFirstColumn="0" w:lastRowLastColumn="0"/>
            </w:pPr>
            <w:r>
              <w:t>$9,000</w:t>
            </w:r>
          </w:p>
        </w:tc>
        <w:tc>
          <w:tcPr>
            <w:tcW w:w="2520" w:type="dxa"/>
          </w:tcPr>
          <w:p w14:paraId="5CA815E2" w14:textId="77777777" w:rsidR="003547AD" w:rsidRDefault="00000000">
            <w:pPr>
              <w:cnfStyle w:val="000000010000" w:firstRow="0" w:lastRow="0" w:firstColumn="0" w:lastColumn="0" w:oddVBand="0" w:evenVBand="0" w:oddHBand="0" w:evenHBand="1" w:firstRowFirstColumn="0" w:firstRowLastColumn="0" w:lastRowFirstColumn="0" w:lastRowLastColumn="0"/>
            </w:pPr>
            <w:r>
              <w:t>$9,000</w:t>
            </w:r>
          </w:p>
        </w:tc>
        <w:tc>
          <w:tcPr>
            <w:tcW w:w="2520" w:type="dxa"/>
          </w:tcPr>
          <w:p w14:paraId="375C6A7A" w14:textId="77777777" w:rsidR="003547AD" w:rsidRDefault="00000000">
            <w:pPr>
              <w:cnfStyle w:val="000000010000" w:firstRow="0" w:lastRow="0" w:firstColumn="0" w:lastColumn="0" w:oddVBand="0" w:evenVBand="0" w:oddHBand="0" w:evenHBand="1" w:firstRowFirstColumn="0" w:firstRowLastColumn="0" w:lastRowFirstColumn="0" w:lastRowLastColumn="0"/>
            </w:pPr>
            <w:r>
              <w:t>—</w:t>
            </w:r>
          </w:p>
        </w:tc>
      </w:tr>
      <w:tr w:rsidR="003547AD" w14:paraId="61947C20" w14:textId="77777777" w:rsidTr="00354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582C1983" w14:textId="77777777" w:rsidR="003547AD" w:rsidRDefault="00000000">
            <w:r>
              <w:t>Annual readmission cost</w:t>
            </w:r>
          </w:p>
        </w:tc>
        <w:tc>
          <w:tcPr>
            <w:tcW w:w="2520" w:type="dxa"/>
          </w:tcPr>
          <w:p w14:paraId="2EDB8FD5" w14:textId="77777777" w:rsidR="003547AD" w:rsidRDefault="00000000">
            <w:pPr>
              <w:cnfStyle w:val="000000100000" w:firstRow="0" w:lastRow="0" w:firstColumn="0" w:lastColumn="0" w:oddVBand="0" w:evenVBand="0" w:oddHBand="1" w:evenHBand="0" w:firstRowFirstColumn="0" w:firstRowLastColumn="0" w:lastRowFirstColumn="0" w:lastRowLastColumn="0"/>
            </w:pPr>
            <w:r>
              <w:t>$2.7M</w:t>
            </w:r>
          </w:p>
        </w:tc>
        <w:tc>
          <w:tcPr>
            <w:tcW w:w="2520" w:type="dxa"/>
          </w:tcPr>
          <w:p w14:paraId="38299EAB" w14:textId="77777777" w:rsidR="003547AD" w:rsidRDefault="00000000">
            <w:pPr>
              <w:cnfStyle w:val="000000100000" w:firstRow="0" w:lastRow="0" w:firstColumn="0" w:lastColumn="0" w:oddVBand="0" w:evenVBand="0" w:oddHBand="1" w:evenHBand="0" w:firstRowFirstColumn="0" w:firstRowLastColumn="0" w:lastRowFirstColumn="0" w:lastRowLastColumn="0"/>
            </w:pPr>
            <w:r>
              <w:t>$1.35-1.57M</w:t>
            </w:r>
          </w:p>
        </w:tc>
        <w:tc>
          <w:tcPr>
            <w:tcW w:w="2520" w:type="dxa"/>
          </w:tcPr>
          <w:p w14:paraId="2FB8DA1E" w14:textId="77777777" w:rsidR="003547AD" w:rsidRDefault="00000000">
            <w:pPr>
              <w:cnfStyle w:val="000000100000" w:firstRow="0" w:lastRow="0" w:firstColumn="0" w:lastColumn="0" w:oddVBand="0" w:evenVBand="0" w:oddHBand="1" w:evenHBand="0" w:firstRowFirstColumn="0" w:firstRowLastColumn="0" w:lastRowFirstColumn="0" w:lastRowLastColumn="0"/>
            </w:pPr>
            <w:r>
              <w:t>-$1.1-1.35M savings</w:t>
            </w:r>
          </w:p>
        </w:tc>
      </w:tr>
      <w:tr w:rsidR="003547AD" w14:paraId="6D543B38" w14:textId="77777777" w:rsidTr="003547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186ABF8E" w14:textId="77777777" w:rsidR="003547AD" w:rsidRDefault="00000000">
            <w:r>
              <w:t>RPM garment cost (3-year)</w:t>
            </w:r>
          </w:p>
        </w:tc>
        <w:tc>
          <w:tcPr>
            <w:tcW w:w="2520" w:type="dxa"/>
          </w:tcPr>
          <w:p w14:paraId="52435B97" w14:textId="77777777" w:rsidR="003547AD" w:rsidRDefault="00000000">
            <w:pPr>
              <w:cnfStyle w:val="000000010000" w:firstRow="0" w:lastRow="0" w:firstColumn="0" w:lastColumn="0" w:oddVBand="0" w:evenVBand="0" w:oddHBand="0" w:evenHBand="1" w:firstRowFirstColumn="0" w:firstRowLastColumn="0" w:lastRowFirstColumn="0" w:lastRowLastColumn="0"/>
            </w:pPr>
            <w:r>
              <w:t>—</w:t>
            </w:r>
          </w:p>
        </w:tc>
        <w:tc>
          <w:tcPr>
            <w:tcW w:w="2520" w:type="dxa"/>
          </w:tcPr>
          <w:p w14:paraId="7D1D81C0" w14:textId="77777777" w:rsidR="003547AD" w:rsidRDefault="00000000">
            <w:pPr>
              <w:cnfStyle w:val="000000010000" w:firstRow="0" w:lastRow="0" w:firstColumn="0" w:lastColumn="0" w:oddVBand="0" w:evenVBand="0" w:oddHBand="0" w:evenHBand="1" w:firstRowFirstColumn="0" w:firstRowLastColumn="0" w:lastRowFirstColumn="0" w:lastRowLastColumn="0"/>
            </w:pPr>
            <w:r>
              <w:t>$150K</w:t>
            </w:r>
          </w:p>
        </w:tc>
        <w:tc>
          <w:tcPr>
            <w:tcW w:w="2520" w:type="dxa"/>
          </w:tcPr>
          <w:p w14:paraId="7007910B" w14:textId="77777777" w:rsidR="003547AD" w:rsidRDefault="00000000">
            <w:pPr>
              <w:cnfStyle w:val="000000010000" w:firstRow="0" w:lastRow="0" w:firstColumn="0" w:lastColumn="0" w:oddVBand="0" w:evenVBand="0" w:oddHBand="0" w:evenHBand="1" w:firstRowFirstColumn="0" w:firstRowLastColumn="0" w:lastRowFirstColumn="0" w:lastRowLastColumn="0"/>
            </w:pPr>
            <w:r>
              <w:t>hardware cost</w:t>
            </w:r>
          </w:p>
        </w:tc>
      </w:tr>
    </w:tbl>
    <w:p w14:paraId="5370C6A8" w14:textId="77777777" w:rsidR="003547AD" w:rsidRDefault="003547AD"/>
    <w:p w14:paraId="288209DA" w14:textId="77777777" w:rsidR="003547AD" w:rsidRDefault="00000000">
      <w:r>
        <w:rPr>
          <w:b/>
        </w:rPr>
        <w:t>Return on investment: 6-7x within the first year for a properly configured cohort.</w:t>
      </w:r>
    </w:p>
    <w:p w14:paraId="1FC0BC79" w14:textId="77777777" w:rsidR="003547AD" w:rsidRDefault="00000000">
      <w:r>
        <w:t>The economic case is strong, but only if:</w:t>
      </w:r>
    </w:p>
    <w:p w14:paraId="400B445A" w14:textId="77777777" w:rsidR="003547AD" w:rsidRDefault="00000000">
      <w:pPr>
        <w:pStyle w:val="ListNumber"/>
      </w:pPr>
      <w:r>
        <w:t>You identify the right patient cohort (high-risk, high-utilization, not already stable)</w:t>
      </w:r>
    </w:p>
    <w:p w14:paraId="0B49F4BC" w14:textId="77777777" w:rsidR="003547AD" w:rsidRDefault="00000000">
      <w:pPr>
        <w:pStyle w:val="ListNumber"/>
      </w:pPr>
      <w:r>
        <w:t>You've designed the alert thresholds appropriately (not over-alerting, which drives false workload)</w:t>
      </w:r>
    </w:p>
    <w:p w14:paraId="2F3E8114" w14:textId="77777777" w:rsidR="003547AD" w:rsidRDefault="00000000">
      <w:pPr>
        <w:pStyle w:val="ListNumber"/>
      </w:pPr>
      <w:r>
        <w:t>You've integrated the workflow into existing provider schedules (not adding new roles)</w:t>
      </w:r>
    </w:p>
    <w:p w14:paraId="0BEA9943" w14:textId="77777777" w:rsidR="003547AD" w:rsidRDefault="00000000">
      <w:pPr>
        <w:pStyle w:val="ListNumber"/>
      </w:pPr>
      <w:r>
        <w:t>You've committed to structured follow-up (not passive monitoring)</w:t>
      </w:r>
    </w:p>
    <w:p w14:paraId="42064D45" w14:textId="77777777" w:rsidR="003547AD" w:rsidRDefault="003547AD"/>
    <w:p w14:paraId="06CF372C" w14:textId="77777777" w:rsidR="003547AD" w:rsidRDefault="00000000">
      <w:pPr>
        <w:pStyle w:val="Heading3"/>
      </w:pPr>
      <w:r>
        <w:rPr>
          <w:color w:val="003366"/>
          <w:sz w:val="24"/>
        </w:rPr>
        <w:t>Implementation Roadmap</w:t>
      </w:r>
    </w:p>
    <w:p w14:paraId="56844410" w14:textId="77777777" w:rsidR="003547AD" w:rsidRDefault="00000000">
      <w:pPr>
        <w:spacing w:after="80"/>
      </w:pPr>
      <w:r>
        <w:rPr>
          <w:b/>
          <w:color w:val="003366"/>
        </w:rPr>
        <w:t>Phase 1: Pilot Cohort (3-4 months, 50-100 patients)</w:t>
      </w:r>
    </w:p>
    <w:p w14:paraId="2B33F2AE" w14:textId="77777777" w:rsidR="003547AD" w:rsidRDefault="00000000">
      <w:pPr>
        <w:pStyle w:val="ListBullet"/>
      </w:pPr>
      <w:r>
        <w:t>Target: Recently hospitalized or high-readmission-risk heart failure patients</w:t>
      </w:r>
    </w:p>
    <w:p w14:paraId="02F1C106" w14:textId="77777777" w:rsidR="003547AD" w:rsidRDefault="00000000">
      <w:pPr>
        <w:pStyle w:val="ListBullet"/>
      </w:pPr>
      <w:r>
        <w:t>Goal: Validate workflow, refine alert thresholds, build provider confidence</w:t>
      </w:r>
    </w:p>
    <w:p w14:paraId="0F86C56B" w14:textId="77777777" w:rsidR="003547AD" w:rsidRDefault="00000000">
      <w:pPr>
        <w:pStyle w:val="ListBullet"/>
      </w:pPr>
      <w:r>
        <w:t>Outcome: Proof of concept for internal stakeholders</w:t>
      </w:r>
    </w:p>
    <w:p w14:paraId="4050633B" w14:textId="77777777" w:rsidR="003547AD" w:rsidRDefault="00000000">
      <w:pPr>
        <w:spacing w:after="80"/>
      </w:pPr>
      <w:r>
        <w:rPr>
          <w:b/>
          <w:color w:val="003366"/>
        </w:rPr>
        <w:t>Phase 2: Expansion (6-9 months, 300-500 patients)</w:t>
      </w:r>
    </w:p>
    <w:p w14:paraId="66FB923E" w14:textId="77777777" w:rsidR="003547AD" w:rsidRDefault="00000000">
      <w:pPr>
        <w:pStyle w:val="ListBullet"/>
      </w:pPr>
      <w:r>
        <w:t>Target: Extend across 2-3 major VAMCs</w:t>
      </w:r>
    </w:p>
    <w:p w14:paraId="5C263D1F" w14:textId="77777777" w:rsidR="003547AD" w:rsidRDefault="00000000">
      <w:pPr>
        <w:pStyle w:val="ListBullet"/>
      </w:pPr>
      <w:r>
        <w:t>Goal: Demonstrate consistent outcomes, build staff competency, establish supply chain</w:t>
      </w:r>
    </w:p>
    <w:p w14:paraId="4203BDFB" w14:textId="77777777" w:rsidR="003547AD" w:rsidRDefault="00000000">
      <w:pPr>
        <w:pStyle w:val="ListBullet"/>
      </w:pPr>
      <w:r>
        <w:t>Outcome: Foundation for system-wide scaling</w:t>
      </w:r>
    </w:p>
    <w:p w14:paraId="249C195B" w14:textId="77777777" w:rsidR="003547AD" w:rsidRDefault="00000000">
      <w:pPr>
        <w:spacing w:after="80"/>
      </w:pPr>
      <w:r>
        <w:rPr>
          <w:b/>
          <w:color w:val="003366"/>
        </w:rPr>
        <w:lastRenderedPageBreak/>
        <w:t>Phase 3: System-Wide Scale (12-18 months, 5,000+ patients)</w:t>
      </w:r>
    </w:p>
    <w:p w14:paraId="1385835D" w14:textId="77777777" w:rsidR="003547AD" w:rsidRDefault="00000000">
      <w:pPr>
        <w:pStyle w:val="ListBullet"/>
      </w:pPr>
      <w:r>
        <w:t>Target: All eligible heart failure patients across VA system</w:t>
      </w:r>
    </w:p>
    <w:p w14:paraId="040D4F52" w14:textId="77777777" w:rsidR="003547AD" w:rsidRDefault="00000000">
      <w:pPr>
        <w:pStyle w:val="ListBullet"/>
      </w:pPr>
      <w:r>
        <w:t>Goal: Normalize continuous monitoring as standard of care for high-risk populations</w:t>
      </w:r>
    </w:p>
    <w:p w14:paraId="0DA8A9AD" w14:textId="77777777" w:rsidR="003547AD" w:rsidRDefault="00000000">
      <w:pPr>
        <w:pStyle w:val="ListBullet"/>
      </w:pPr>
      <w:r>
        <w:t>Outcome: Enterprise capability with predictable outcomes</w:t>
      </w:r>
    </w:p>
    <w:p w14:paraId="1A81FDC2" w14:textId="77777777" w:rsidR="003547AD" w:rsidRDefault="00000000">
      <w:r>
        <w:br w:type="page"/>
      </w:r>
    </w:p>
    <w:p w14:paraId="07F0BFE4" w14:textId="77777777" w:rsidR="003547AD" w:rsidRDefault="00000000">
      <w:pPr>
        <w:pStyle w:val="Heading2"/>
      </w:pPr>
      <w:r>
        <w:rPr>
          <w:color w:val="003366"/>
          <w:sz w:val="28"/>
        </w:rPr>
        <w:lastRenderedPageBreak/>
        <w:t>PART IV: THE CLINICAL FRAMEWORK</w:t>
      </w:r>
    </w:p>
    <w:p w14:paraId="39FE3B16" w14:textId="77777777" w:rsidR="003547AD" w:rsidRDefault="00000000">
      <w:pPr>
        <w:pStyle w:val="Heading3"/>
      </w:pPr>
      <w:r>
        <w:rPr>
          <w:color w:val="003366"/>
          <w:sz w:val="24"/>
        </w:rPr>
        <w:t>What the Silent Interval Is (And Isn't)</w:t>
      </w:r>
    </w:p>
    <w:p w14:paraId="692D89BD" w14:textId="77777777" w:rsidR="003547AD" w:rsidRDefault="00000000">
      <w:pPr>
        <w:pStyle w:val="Heading3"/>
      </w:pPr>
      <w:r>
        <w:rPr>
          <w:color w:val="003366"/>
          <w:sz w:val="24"/>
        </w:rPr>
        <w:t>Definition</w:t>
      </w:r>
    </w:p>
    <w:p w14:paraId="130A1432" w14:textId="77777777" w:rsidR="003547AD" w:rsidRDefault="00000000">
      <w:r>
        <w:rPr>
          <w:b/>
        </w:rPr>
        <w:t>The Silent Interval is the period between the objective physiologic onset of decompensation and the patient's perception of symptoms—typically 5-14 days in heart failure.</w:t>
      </w:r>
    </w:p>
    <w:p w14:paraId="04B5714C" w14:textId="77777777" w:rsidR="003547AD" w:rsidRDefault="00000000">
      <w:r>
        <w:t>In traditional monitoring, this interval is invisible. The patient doesn't perceive anything. The clinic doesn't have data. No one intervenes. Then the patient develops dyspnea, becomes symptomatic, and either calls the clinic (where they may wait days for an appointment) or goes to the ED.</w:t>
      </w:r>
    </w:p>
    <w:p w14:paraId="3FC82DC0" w14:textId="77777777" w:rsidR="003547AD" w:rsidRDefault="00000000">
      <w:r>
        <w:t>With continuous monitoring, the Silent Interval becomes visible. You're watching the physiologic markers that populate that interval:</w:t>
      </w:r>
    </w:p>
    <w:p w14:paraId="7D9000FA" w14:textId="77777777" w:rsidR="003547AD" w:rsidRDefault="00000000">
      <w:pPr>
        <w:pStyle w:val="ListBullet"/>
      </w:pPr>
      <w:r>
        <w:t>Respiratory rate elevation</w:t>
      </w:r>
    </w:p>
    <w:p w14:paraId="18827C0C" w14:textId="77777777" w:rsidR="003547AD" w:rsidRDefault="00000000">
      <w:pPr>
        <w:pStyle w:val="ListBullet"/>
      </w:pPr>
      <w:r>
        <w:t>Heart rate variability change</w:t>
      </w:r>
    </w:p>
    <w:p w14:paraId="60DD8A56" w14:textId="77777777" w:rsidR="003547AD" w:rsidRDefault="00000000">
      <w:pPr>
        <w:pStyle w:val="ListBullet"/>
      </w:pPr>
      <w:r>
        <w:t>Activity level decline</w:t>
      </w:r>
    </w:p>
    <w:p w14:paraId="2E10E501" w14:textId="77777777" w:rsidR="003547AD" w:rsidRDefault="00000000">
      <w:pPr>
        <w:pStyle w:val="ListBullet"/>
      </w:pPr>
      <w:r>
        <w:t>Sleep fragmentation</w:t>
      </w:r>
    </w:p>
    <w:p w14:paraId="592E1015" w14:textId="77777777" w:rsidR="003547AD" w:rsidRDefault="00000000">
      <w:pPr>
        <w:pStyle w:val="ListBullet"/>
      </w:pPr>
      <w:r>
        <w:t>Cardiac electrical stress</w:t>
      </w:r>
    </w:p>
    <w:p w14:paraId="572BE2B9" w14:textId="77777777" w:rsidR="003547AD" w:rsidRDefault="00000000">
      <w:r>
        <w:t>You intervene during the Silent Interval—which means:</w:t>
      </w:r>
    </w:p>
    <w:p w14:paraId="49A5BF07" w14:textId="77777777" w:rsidR="003547AD" w:rsidRDefault="00000000">
      <w:pPr>
        <w:pStyle w:val="ListBullet"/>
      </w:pPr>
      <w:r>
        <w:t>Earlier intervention with less severe decompensation</w:t>
      </w:r>
    </w:p>
    <w:p w14:paraId="769E57FD" w14:textId="77777777" w:rsidR="003547AD" w:rsidRDefault="00000000">
      <w:pPr>
        <w:pStyle w:val="ListBullet"/>
      </w:pPr>
      <w:r>
        <w:t>Shorter hospital stays (if hospitalization is needed at all)</w:t>
      </w:r>
    </w:p>
    <w:p w14:paraId="33A28D0E" w14:textId="77777777" w:rsidR="003547AD" w:rsidRDefault="00000000">
      <w:pPr>
        <w:pStyle w:val="ListBullet"/>
      </w:pPr>
      <w:r>
        <w:t>Better medication adjustment precision</w:t>
      </w:r>
    </w:p>
    <w:p w14:paraId="7E0A2D92" w14:textId="77777777" w:rsidR="003547AD" w:rsidRDefault="00000000">
      <w:pPr>
        <w:pStyle w:val="ListBullet"/>
      </w:pPr>
      <w:r>
        <w:t>Prevention of acute crisis</w:t>
      </w:r>
    </w:p>
    <w:p w14:paraId="678331EC" w14:textId="77777777" w:rsidR="003547AD" w:rsidRDefault="003547AD"/>
    <w:p w14:paraId="2F1F1C8D" w14:textId="77777777" w:rsidR="003547AD" w:rsidRDefault="00000000">
      <w:pPr>
        <w:pStyle w:val="Heading3"/>
      </w:pPr>
      <w:r>
        <w:rPr>
          <w:color w:val="003366"/>
          <w:sz w:val="24"/>
        </w:rPr>
        <w:t>What This Isn't</w:t>
      </w:r>
    </w:p>
    <w:p w14:paraId="579723B0" w14:textId="77777777" w:rsidR="003547AD" w:rsidRDefault="00000000">
      <w:r>
        <w:t>The Silent Interval framework is not:</w:t>
      </w:r>
    </w:p>
    <w:p w14:paraId="5C41084D" w14:textId="77777777" w:rsidR="003547AD" w:rsidRDefault="00000000">
      <w:pPr>
        <w:pStyle w:val="ListBullet"/>
      </w:pPr>
      <w:r>
        <w:t>A replacement for clinical judgment</w:t>
      </w:r>
    </w:p>
    <w:p w14:paraId="45E86B5B" w14:textId="77777777" w:rsidR="003547AD" w:rsidRDefault="00000000">
      <w:pPr>
        <w:pStyle w:val="ListBullet"/>
      </w:pPr>
      <w:r>
        <w:t>A substitute for patient self-monitoring and symptom awareness</w:t>
      </w:r>
    </w:p>
    <w:p w14:paraId="006B65CB" w14:textId="77777777" w:rsidR="003547AD" w:rsidRDefault="00000000">
      <w:pPr>
        <w:pStyle w:val="ListBullet"/>
      </w:pPr>
      <w:r>
        <w:t>Fully autonomous alert-to-action (human providers make the clinical decision)</w:t>
      </w:r>
    </w:p>
    <w:p w14:paraId="332CC728" w14:textId="77777777" w:rsidR="003547AD" w:rsidRDefault="00000000">
      <w:pPr>
        <w:pStyle w:val="ListBullet"/>
      </w:pPr>
      <w:r>
        <w:t>A magic threshold ('4 alerts = hospitalization')</w:t>
      </w:r>
    </w:p>
    <w:p w14:paraId="57E11C07" w14:textId="77777777" w:rsidR="003547AD" w:rsidRDefault="00000000">
      <w:r>
        <w:t>It is:</w:t>
      </w:r>
    </w:p>
    <w:p w14:paraId="71FD1D5B" w14:textId="77777777" w:rsidR="003547AD" w:rsidRDefault="00000000">
      <w:pPr>
        <w:pStyle w:val="ListBullet"/>
      </w:pPr>
      <w:r>
        <w:t>A structured approach to detecting early change</w:t>
      </w:r>
    </w:p>
    <w:p w14:paraId="165C284B" w14:textId="77777777" w:rsidR="003547AD" w:rsidRDefault="00000000">
      <w:pPr>
        <w:pStyle w:val="ListBullet"/>
      </w:pPr>
      <w:r>
        <w:t>A method for prioritizing provider attention</w:t>
      </w:r>
    </w:p>
    <w:p w14:paraId="68827F03" w14:textId="77777777" w:rsidR="003547AD" w:rsidRDefault="00000000">
      <w:pPr>
        <w:pStyle w:val="ListBullet"/>
      </w:pPr>
      <w:r>
        <w:t>A framework for proactive intervention</w:t>
      </w:r>
    </w:p>
    <w:p w14:paraId="714F9803" w14:textId="77777777" w:rsidR="003547AD" w:rsidRDefault="00000000">
      <w:pPr>
        <w:pStyle w:val="ListBullet"/>
      </w:pPr>
      <w:r>
        <w:t>A way to extend the time veterans have between decompensation and crisis</w:t>
      </w:r>
    </w:p>
    <w:p w14:paraId="1587A9F2" w14:textId="77777777" w:rsidR="003547AD" w:rsidRDefault="00000000">
      <w:r>
        <w:br w:type="page"/>
      </w:r>
    </w:p>
    <w:p w14:paraId="108F7053" w14:textId="77777777" w:rsidR="003547AD" w:rsidRDefault="00000000">
      <w:pPr>
        <w:pStyle w:val="Heading2"/>
      </w:pPr>
      <w:r>
        <w:rPr>
          <w:color w:val="003366"/>
          <w:sz w:val="28"/>
        </w:rPr>
        <w:lastRenderedPageBreak/>
        <w:t>CASE STUDIES: WHAT CHANGES</w:t>
      </w:r>
    </w:p>
    <w:p w14:paraId="69D4D799" w14:textId="77777777" w:rsidR="003547AD" w:rsidRDefault="00000000">
      <w:pPr>
        <w:pStyle w:val="Heading3"/>
      </w:pPr>
      <w:r>
        <w:rPr>
          <w:color w:val="003366"/>
          <w:sz w:val="24"/>
        </w:rPr>
        <w:t>Case 1: Frank (Age 73, Reduced Ejection Fraction, Lives Alone)</w:t>
      </w:r>
    </w:p>
    <w:p w14:paraId="255FF24F" w14:textId="77777777" w:rsidR="003547AD" w:rsidRDefault="00000000">
      <w:r>
        <w:rPr>
          <w:b/>
        </w:rPr>
        <w:t>Before:</w:t>
      </w:r>
    </w:p>
    <w:p w14:paraId="6CDF7F7D" w14:textId="77777777" w:rsidR="003547AD" w:rsidRDefault="00000000">
      <w:r>
        <w:t>Frank had heart failure with EF of 35%. He lived alone, took his medications mostly consistently, but had had two readmissions in 18 months. He checked his weight most days, but his scale was old and he wasn't always sure what it meant. He'd miss clinic appointments occasionally due to transportation issues. Each time he got a bit short of breath, he'd either wait it out or end up in the ED.</w:t>
      </w:r>
    </w:p>
    <w:p w14:paraId="552AC07E" w14:textId="77777777" w:rsidR="003547AD" w:rsidRDefault="00000000">
      <w:r>
        <w:rPr>
          <w:b/>
        </w:rPr>
        <w:t>With continuous monitoring:</w:t>
      </w:r>
    </w:p>
    <w:p w14:paraId="642772C5" w14:textId="77777777" w:rsidR="003547AD" w:rsidRDefault="00000000">
      <w:r>
        <w:t>At day 4 of a medication adherence lapse (he forgot his beta-blocker for 3 days), his respiratory rate began trending upward and his heart rate variability flattened. His provider noticed the pattern during the morning panel review—not because Frank called, but because the dashboard flagged the change. The provider called Frank, verified he'd missed doses, had him take his medication, and scheduled a brief follow-up call two days later.</w:t>
      </w:r>
    </w:p>
    <w:p w14:paraId="586AD6F7" w14:textId="77777777" w:rsidR="003547AD" w:rsidRDefault="00000000">
      <w:r>
        <w:rPr>
          <w:b/>
        </w:rPr>
        <w:t>Outcome:</w:t>
      </w:r>
    </w:p>
    <w:p w14:paraId="15C5B50C" w14:textId="77777777" w:rsidR="003547AD" w:rsidRDefault="00000000">
      <w:r>
        <w:t>No decompensation, no ED visit, no hospitalization. Frank was brought back into balance in 4 days instead of waiting another week until he developed dyspnea and self-referred to the ED.</w:t>
      </w:r>
    </w:p>
    <w:p w14:paraId="5CBF55BD" w14:textId="77777777" w:rsidR="003547AD" w:rsidRDefault="003547AD"/>
    <w:p w14:paraId="33491F55" w14:textId="77777777" w:rsidR="003547AD" w:rsidRDefault="00000000">
      <w:pPr>
        <w:pStyle w:val="Heading3"/>
      </w:pPr>
      <w:r>
        <w:rPr>
          <w:color w:val="003366"/>
          <w:sz w:val="24"/>
        </w:rPr>
        <w:t>Case 2: Sandra (Age 68, HFpEF, Works Part-Time)</w:t>
      </w:r>
    </w:p>
    <w:p w14:paraId="1743DA65" w14:textId="77777777" w:rsidR="003547AD" w:rsidRDefault="00000000">
      <w:r>
        <w:rPr>
          <w:b/>
        </w:rPr>
        <w:t>Before:</w:t>
      </w:r>
    </w:p>
    <w:p w14:paraId="211E185B" w14:textId="77777777" w:rsidR="003547AD" w:rsidRDefault="00000000">
      <w:r>
        <w:t>Sandra had preserved ejection fraction (EF 52%), which made her invisible in the traditional monitoring model. Her resting vital signs looked fine. She had minimal symptoms at rest. But she tired easily. She'd reduce her activity, which made her feel weaker, which made her more depressed. Her clinic visits were quarterly, and between visits, no one was really watching. She had one hospitalization for 'exertional dyspnea' that the team suspected was cardiac but couldn't quite prove.</w:t>
      </w:r>
    </w:p>
    <w:p w14:paraId="1A990F5C" w14:textId="77777777" w:rsidR="003547AD" w:rsidRDefault="00000000">
      <w:r>
        <w:rPr>
          <w:b/>
        </w:rPr>
        <w:t>With continuous monitoring:</w:t>
      </w:r>
    </w:p>
    <w:p w14:paraId="7CEF0E04" w14:textId="77777777" w:rsidR="003547AD" w:rsidRDefault="00000000">
      <w:r>
        <w:t>Continuous monitoring showed Sandra's resting HR recovery was poor and getting worse—indicating declining cardiac reserve. Her respiratory rate elevated with minimal exertion. These changes happened over 3 weeks, invisible to Sandra and not visible at a quarterly clinic visit. Her provider noticed the trend, adjusted her beta-blocker dose upward, and referred her to structured cardiac rehab.</w:t>
      </w:r>
    </w:p>
    <w:p w14:paraId="79F9A83C" w14:textId="77777777" w:rsidR="003547AD" w:rsidRDefault="00000000">
      <w:r>
        <w:rPr>
          <w:b/>
        </w:rPr>
        <w:t>Outcome:</w:t>
      </w:r>
    </w:p>
    <w:p w14:paraId="79B7FE81" w14:textId="77777777" w:rsidR="003547AD" w:rsidRDefault="00000000">
      <w:r>
        <w:t>Over the following 6 weeks, Sandra's exertional tolerance improved noticeably. Her HR recovery normalized. She was able to increase her activity. Depression scores improved. Six months later, she's more active than she was in the prior year.</w:t>
      </w:r>
    </w:p>
    <w:p w14:paraId="22AB8CAE" w14:textId="77777777" w:rsidR="003547AD" w:rsidRDefault="00000000">
      <w:r>
        <w:br w:type="page"/>
      </w:r>
    </w:p>
    <w:p w14:paraId="2A40C5C1" w14:textId="77777777" w:rsidR="003547AD" w:rsidRDefault="00000000">
      <w:pPr>
        <w:pStyle w:val="Heading2"/>
      </w:pPr>
      <w:r>
        <w:rPr>
          <w:color w:val="003366"/>
          <w:sz w:val="28"/>
        </w:rPr>
        <w:lastRenderedPageBreak/>
        <w:t>CONCLUSION: THE VETERAN-CENTERED DIFFERENCE</w:t>
      </w:r>
    </w:p>
    <w:p w14:paraId="11EF4F17" w14:textId="77777777" w:rsidR="003547AD" w:rsidRDefault="00000000">
      <w:r>
        <w:t>Heart failure monitoring doesn't have to mean tethering veterans to clinics. It can mean giving them the independence they've earned while ensuring their care team has the insight they need.</w:t>
      </w:r>
    </w:p>
    <w:p w14:paraId="24B9CDE5" w14:textId="77777777" w:rsidR="003547AD" w:rsidRDefault="00000000">
      <w:r>
        <w:rPr>
          <w:b/>
        </w:rPr>
        <w:t>The Silent Interval framework does both.</w:t>
      </w:r>
    </w:p>
    <w:p w14:paraId="071C87F0" w14:textId="77777777" w:rsidR="003547AD" w:rsidRDefault="00000000">
      <w:pPr>
        <w:pStyle w:val="ListBullet"/>
      </w:pPr>
      <w:r>
        <w:t>For veterans: independence, dignity, better outcomes.</w:t>
      </w:r>
    </w:p>
    <w:p w14:paraId="6C97A913" w14:textId="77777777" w:rsidR="003547AD" w:rsidRDefault="00000000">
      <w:pPr>
        <w:pStyle w:val="ListBullet"/>
      </w:pPr>
      <w:r>
        <w:t>For providers: signal without burden, proactive intervention, real-time insight.</w:t>
      </w:r>
    </w:p>
    <w:p w14:paraId="113E2229" w14:textId="77777777" w:rsidR="003547AD" w:rsidRDefault="00000000">
      <w:pPr>
        <w:pStyle w:val="ListBullet"/>
      </w:pPr>
      <w:r>
        <w:t>For the VA system: proven economics, proven outcomes, proven scalability.</w:t>
      </w:r>
    </w:p>
    <w:p w14:paraId="17B133DF" w14:textId="77777777" w:rsidR="003547AD" w:rsidRDefault="00000000">
      <w:r>
        <w:rPr>
          <w:i/>
        </w:rPr>
        <w:t>This is how modern monitoring should work.</w:t>
      </w:r>
    </w:p>
    <w:sectPr w:rsidR="003547AD"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05992553">
    <w:abstractNumId w:val="8"/>
  </w:num>
  <w:num w:numId="2" w16cid:durableId="224028201">
    <w:abstractNumId w:val="6"/>
  </w:num>
  <w:num w:numId="3" w16cid:durableId="1476951896">
    <w:abstractNumId w:val="5"/>
  </w:num>
  <w:num w:numId="4" w16cid:durableId="1392999816">
    <w:abstractNumId w:val="4"/>
  </w:num>
  <w:num w:numId="5" w16cid:durableId="357703596">
    <w:abstractNumId w:val="7"/>
  </w:num>
  <w:num w:numId="6" w16cid:durableId="1365671833">
    <w:abstractNumId w:val="3"/>
  </w:num>
  <w:num w:numId="7" w16cid:durableId="350185370">
    <w:abstractNumId w:val="2"/>
  </w:num>
  <w:num w:numId="8" w16cid:durableId="1412383753">
    <w:abstractNumId w:val="1"/>
  </w:num>
  <w:num w:numId="9" w16cid:durableId="1964116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547AD"/>
    <w:rsid w:val="003E26E0"/>
    <w:rsid w:val="00AA1D8D"/>
    <w:rsid w:val="00AA2C01"/>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337AA3"/>
  <w14:defaultImageDpi w14:val="300"/>
  <w15:docId w15:val="{199BD721-6002-40D6-82A5-BF3983CBC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2102</Words>
  <Characters>11982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 Damore</cp:lastModifiedBy>
  <cp:revision>2</cp:revision>
  <dcterms:created xsi:type="dcterms:W3CDTF">2026-07-08T15:18:00Z</dcterms:created>
  <dcterms:modified xsi:type="dcterms:W3CDTF">2026-07-08T15:18:00Z</dcterms:modified>
  <cp:category/>
</cp:coreProperties>
</file>